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E7445" w14:textId="3EEA6C3B" w:rsidR="006540F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Zał. nr 5</w:t>
      </w:r>
      <w:r w:rsidRPr="0075104D">
        <w:rPr>
          <w:rFonts w:ascii="Times New Roman" w:hAnsi="Times New Roman" w:cs="Times New Roman"/>
          <w:b/>
          <w:sz w:val="24"/>
          <w:szCs w:val="24"/>
        </w:rPr>
        <w:t xml:space="preserve"> do SWZ-</w:t>
      </w:r>
      <w:r>
        <w:rPr>
          <w:rFonts w:ascii="Times New Roman" w:hAnsi="Times New Roman" w:cs="Times New Roman"/>
          <w:b/>
          <w:sz w:val="24"/>
          <w:szCs w:val="24"/>
        </w:rPr>
        <w:t>Umowa</w:t>
      </w:r>
    </w:p>
    <w:p w14:paraId="15CDAFBF" w14:textId="77777777" w:rsidR="0075104D" w:rsidRPr="00001330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F3AC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14:paraId="384DE717" w14:textId="3DB18C42" w:rsidR="006540F1" w:rsidRPr="0000133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</w:t>
      </w:r>
      <w:r w:rsidR="00C43618">
        <w:rPr>
          <w:rFonts w:ascii="Times New Roman" w:hAnsi="Times New Roman" w:cs="Times New Roman"/>
          <w:sz w:val="24"/>
          <w:szCs w:val="24"/>
        </w:rPr>
        <w:t>2.</w:t>
      </w:r>
      <w:r w:rsidR="003E0794">
        <w:rPr>
          <w:rFonts w:ascii="Times New Roman" w:hAnsi="Times New Roman" w:cs="Times New Roman"/>
          <w:sz w:val="24"/>
          <w:szCs w:val="24"/>
        </w:rPr>
        <w:t>2021</w:t>
      </w:r>
      <w:bookmarkStart w:id="0" w:name="_GoBack"/>
      <w:bookmarkEnd w:id="0"/>
    </w:p>
    <w:p w14:paraId="1FA72331" w14:textId="77777777"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………………2021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FDCD5D" w14:textId="77777777"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48BC5C5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14:paraId="7D2EB96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14:paraId="048CDD00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14:paraId="2B06FE4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14:paraId="4655A2E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14:paraId="5E56C80A" w14:textId="77777777"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14:paraId="4244FED9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14:paraId="6BF1B52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14:paraId="32BF8FB5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79F8D40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59EA7F4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1422DC3C" w14:textId="0F22C529"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2019 r. poz.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zwaną dalej ustawą Prawo zamówień publicznych </w:t>
      </w:r>
    </w:p>
    <w:p w14:paraId="186797CE" w14:textId="77777777" w:rsidR="002922F7" w:rsidRDefault="002922F7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„…………………………………………………….” </w:t>
      </w:r>
    </w:p>
    <w:p w14:paraId="5937818B" w14:textId="77777777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84D1" w14:textId="77777777"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3B011F2A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1574E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14:paraId="1332E2A4" w14:textId="77777777"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222D78CF" w14:textId="77777777"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14:paraId="45805EC3" w14:textId="1FC4AB29"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 xml:space="preserve">owiatową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62759C">
        <w:rPr>
          <w:rFonts w:ascii="Times New Roman" w:hAnsi="Times New Roman" w:cs="Times New Roman"/>
          <w:sz w:val="24"/>
          <w:szCs w:val="24"/>
        </w:rPr>
        <w:t xml:space="preserve"> w 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14:paraId="68C0363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0EC612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14:paraId="7757DD19" w14:textId="77777777" w:rsidR="006540F1" w:rsidRPr="00BF5EDE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 xml:space="preserve">Przedmiotem umowy 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14:paraId="00C9F050" w14:textId="6D87CED6"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>rok produkcji podwozia i nadwozia nie starszy niż 2020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4D3A6" w14:textId="77777777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08760C" w14:textId="77777777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 przedmiot umowy z pełnym zbiornikiem paliwa i płynów eksploatacyjnych.</w:t>
      </w:r>
    </w:p>
    <w:p w14:paraId="3FA5A17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03157A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14:paraId="0FFBBB2B" w14:textId="77777777"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14:paraId="474827E1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62EB29D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3886FCA3" w14:textId="77777777"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2D96DD9F" w14:textId="5AEF1F6B"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0FC0DF87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54BEB7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7C947776" w14:textId="77777777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66B7DE3B" w14:textId="77B1474C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6D55AB8" w14:textId="77777777"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2062427" w14:textId="77777777"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30A5C7CE" w14:textId="77777777"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F094B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07446BD3" w14:textId="5CBD3011" w:rsidR="006540F1" w:rsidRPr="0036225D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36225D">
        <w:rPr>
          <w:rFonts w:ascii="Times New Roman" w:hAnsi="Times New Roman" w:cs="Times New Roman"/>
          <w:sz w:val="24"/>
          <w:szCs w:val="24"/>
        </w:rPr>
        <w:t xml:space="preserve"> 90 dni od daty podpisania umowy, przy czym</w:t>
      </w:r>
      <w:r w:rsidR="0036225D" w:rsidRPr="0036225D">
        <w:t xml:space="preserve"> </w:t>
      </w:r>
      <w:r w:rsidR="0036225D">
        <w:rPr>
          <w:rFonts w:ascii="Times New Roman" w:hAnsi="Times New Roman" w:cs="Times New Roman"/>
          <w:sz w:val="24"/>
          <w:szCs w:val="24"/>
        </w:rPr>
        <w:t>z</w:t>
      </w:r>
      <w:r w:rsidR="0036225D" w:rsidRPr="0036225D">
        <w:rPr>
          <w:rFonts w:ascii="Times New Roman" w:hAnsi="Times New Roman" w:cs="Times New Roman"/>
          <w:sz w:val="24"/>
          <w:szCs w:val="24"/>
        </w:rPr>
        <w:t xml:space="preserve"> uwagi na konieczność wydatkowania środków publicznych do końca roku kalendarzowego termin obowiązywania zamówienia nie może trwać dłużej niż do 20.12.2021</w:t>
      </w:r>
      <w:r w:rsidR="0036225D">
        <w:rPr>
          <w:rFonts w:ascii="Times New Roman" w:hAnsi="Times New Roman" w:cs="Times New Roman"/>
          <w:sz w:val="24"/>
          <w:szCs w:val="24"/>
        </w:rPr>
        <w:t>r</w:t>
      </w:r>
      <w:r w:rsidR="0036225D" w:rsidRPr="0036225D">
        <w:rPr>
          <w:rFonts w:ascii="Times New Roman" w:hAnsi="Times New Roman" w:cs="Times New Roman"/>
          <w:sz w:val="24"/>
          <w:szCs w:val="24"/>
        </w:rPr>
        <w:t>.</w:t>
      </w:r>
      <w:r w:rsidR="0036225D">
        <w:rPr>
          <w:rFonts w:ascii="Times New Roman" w:hAnsi="Times New Roman" w:cs="Times New Roman"/>
          <w:sz w:val="24"/>
          <w:szCs w:val="24"/>
        </w:rPr>
        <w:t xml:space="preserve"> </w:t>
      </w:r>
      <w:r w:rsidRPr="0036225D">
        <w:rPr>
          <w:rFonts w:ascii="Times New Roman" w:hAnsi="Times New Roman" w:cs="Times New Roman"/>
          <w:sz w:val="24"/>
          <w:szCs w:val="24"/>
        </w:rPr>
        <w:t>Termin realizacji umowy zostaje zachowany, jeżeli odbiór faktyczny oraz szkol</w:t>
      </w:r>
      <w:r w:rsidR="00E86E49" w:rsidRPr="0036225D">
        <w:rPr>
          <w:rFonts w:ascii="Times New Roman" w:hAnsi="Times New Roman" w:cs="Times New Roman"/>
          <w:sz w:val="24"/>
          <w:szCs w:val="24"/>
        </w:rPr>
        <w:t>enie odbędzie się w</w:t>
      </w:r>
      <w:r w:rsidR="00C80005" w:rsidRPr="0036225D">
        <w:rPr>
          <w:rFonts w:ascii="Times New Roman" w:hAnsi="Times New Roman" w:cs="Times New Roman"/>
          <w:sz w:val="24"/>
          <w:szCs w:val="24"/>
        </w:rPr>
        <w:t> </w:t>
      </w:r>
      <w:r w:rsidR="00E86E49" w:rsidRPr="0036225D">
        <w:rPr>
          <w:rFonts w:ascii="Times New Roman" w:hAnsi="Times New Roman" w:cs="Times New Roman"/>
          <w:sz w:val="24"/>
          <w:szCs w:val="24"/>
        </w:rPr>
        <w:t>terminie, o </w:t>
      </w:r>
      <w:r w:rsidRPr="0036225D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 w:rsidRPr="0036225D">
        <w:rPr>
          <w:rFonts w:ascii="Times New Roman" w:hAnsi="Times New Roman" w:cs="Times New Roman"/>
          <w:sz w:val="24"/>
          <w:szCs w:val="24"/>
        </w:rPr>
        <w:t xml:space="preserve">- </w:t>
      </w:r>
      <w:r w:rsidRPr="0036225D">
        <w:rPr>
          <w:rFonts w:ascii="Times New Roman" w:hAnsi="Times New Roman" w:cs="Times New Roman"/>
          <w:sz w:val="24"/>
          <w:szCs w:val="24"/>
        </w:rPr>
        <w:t>bez zastrzeżeń.</w:t>
      </w:r>
    </w:p>
    <w:p w14:paraId="66E92E81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ZAMAWIAJĄCY dopuszcza zawiadomienie w formie faksu do Komendy Wojewódzkiej Państwowej Straży Pożarnej w Łodzi na nr 42 63 15 108.</w:t>
      </w:r>
    </w:p>
    <w:p w14:paraId="1AA9F530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0530029D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1DE10226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C3FB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42C586D5" w14:textId="77777777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Pr="00001330">
        <w:rPr>
          <w:rFonts w:ascii="Times New Roman" w:hAnsi="Times New Roman" w:cs="Times New Roman"/>
          <w:sz w:val="24"/>
          <w:szCs w:val="24"/>
        </w:rPr>
        <w:t xml:space="preserve"> w ilości od 3 do 5 osób.</w:t>
      </w:r>
    </w:p>
    <w:p w14:paraId="2ED25F10" w14:textId="16888DD1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</w:p>
    <w:p w14:paraId="5795BFCE" w14:textId="77777777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26EC1742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4F526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527D9928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37697204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6347DF2A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934AF" w14:textId="77777777"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2E770307" w14:textId="1DDE661F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9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26BBFB23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149E2E28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135D701A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stwierdzenia podczas odbioru techniczno-jakościowego   przedmiotu umowy usterek, WYKONAWCA zobowiązuje się do ich niezwłocznego usunięcia (tj. w tym samym dniu)  lub wymiany przedmiotu umowy na wolny od usterek. W takim przypadku zostanie sporządzony protokół o stwierdzonych us</w:t>
      </w:r>
      <w:r w:rsidR="004F037D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001330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02A2586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przypadku, gdy WYKONAWCA nie jest w stanie niezwłocznie usunąć usterek,                        o których mowa w ust. </w:t>
      </w:r>
      <w:r w:rsidR="00F00763" w:rsidRPr="00001330">
        <w:rPr>
          <w:rFonts w:ascii="Times New Roman" w:hAnsi="Times New Roman" w:cs="Times New Roman"/>
          <w:sz w:val="24"/>
          <w:szCs w:val="24"/>
        </w:rPr>
        <w:t>6</w:t>
      </w:r>
      <w:r w:rsidRPr="00001330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001330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techniczn</w:t>
      </w:r>
      <w:r w:rsidR="004F037D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001330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29275CA3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14:paraId="6619A98A" w14:textId="07EEE541"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 podczas inspekcji produkcyjnej, odbioru techniczno-jakościowego                      i faktycznego oraz szkolenia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0189F930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zastrzega sobie prawo do pozostawienia przedmiotu umowy w siedzibie WYKONAWCY po zakończeniu odbioru faktycznego przedmiotu umowy na czas niezbędny do dokonania procedury rejestracji przedmiotu umowy. Wszelkie koszty związane  z  ewentualnym pozostawieniem przez ZAMAWIAJĄCEGO przedmiotu umowy obciążają WYKONAWCĘ. W czasie pozostawania przedmiotu umowy w siedzibie WYKONAWCY ryzyko utraty lub uszkodzenia przedmiotu umowy spoczywa na</w:t>
      </w:r>
      <w:r w:rsidR="004F037D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WYKONAWCY. Na  okoliczność pozostawienia przedmiotu umowy sporządzony będzie protokół pozostawienia w siedzibie WYKONAWCY oraz odbioru podpisany przez przedstawicieli ZAMAWIAJĄCEGO i WYKONAWCY.</w:t>
      </w:r>
    </w:p>
    <w:p w14:paraId="2529690D" w14:textId="77777777"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UŻYTKOWNIKA po odbiorze faktycznym obciąża WYKONAWCĘ. Sposób </w:t>
      </w:r>
      <w:r w:rsidRPr="004F037D">
        <w:rPr>
          <w:rFonts w:ascii="Times New Roman" w:hAnsi="Times New Roman" w:cs="Times New Roman"/>
          <w:sz w:val="24"/>
          <w:szCs w:val="24"/>
        </w:rPr>
        <w:lastRenderedPageBreak/>
        <w:t>transportu oraz rozliczeni</w:t>
      </w:r>
      <w:r w:rsidR="004F7E13">
        <w:rPr>
          <w:rFonts w:ascii="Times New Roman" w:hAnsi="Times New Roman" w:cs="Times New Roman"/>
          <w:sz w:val="24"/>
          <w:szCs w:val="24"/>
        </w:rPr>
        <w:t>a</w:t>
      </w:r>
      <w:r w:rsidRPr="004F037D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ZAMAWIAJĄCY </w:t>
      </w:r>
      <w:r w:rsidR="00063531" w:rsidRPr="004F037D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>
        <w:rPr>
          <w:rFonts w:ascii="Times New Roman" w:hAnsi="Times New Roman" w:cs="Times New Roman"/>
          <w:sz w:val="24"/>
          <w:szCs w:val="24"/>
        </w:rPr>
        <w:t>księgowej</w:t>
      </w:r>
      <w:r w:rsidR="00063531" w:rsidRPr="004F037D">
        <w:rPr>
          <w:rFonts w:ascii="Times New Roman" w:hAnsi="Times New Roman" w:cs="Times New Roman"/>
          <w:sz w:val="24"/>
          <w:szCs w:val="24"/>
        </w:rPr>
        <w:t xml:space="preserve">, płatnej w terminie 14 dni od daty jej doręczenia WYKONAWCY.  </w:t>
      </w:r>
    </w:p>
    <w:p w14:paraId="40AFDD8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001330">
        <w:rPr>
          <w:rFonts w:ascii="Times New Roman" w:hAnsi="Times New Roman" w:cs="Times New Roman"/>
          <w:sz w:val="24"/>
          <w:szCs w:val="24"/>
        </w:rPr>
        <w:t xml:space="preserve">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14:paraId="35D38104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9525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16A7BB6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3BCE21CF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6DF3DA8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13BFE4" w14:textId="77777777"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3B56D0F" w14:textId="77777777" w:rsidR="00F76C9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z dnia 20 czerwca 2007 r. w sprawie wykazu wyrobów służących zapewnieniu bezpieczeństwa publicznego lub ochronie zdrowia i życia oraz mienia, a także zasad wydawania dopuszczenia tych wyrobów do użytkowania (Dz. U. Nr 143, poz.1002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wraz z kopią sprawozdania z badań,</w:t>
      </w:r>
    </w:p>
    <w:p w14:paraId="1225D37C" w14:textId="77777777"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wykazu wyrobów służących zapewnieniu bezpieczeństwa publicznego lub ochronie zdrowia i życia oraz mienia, a także zasad wydawania dopuszczenia tych wyrobów do użytkowania (Dz. U. Nr 143, poz.1002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w wersji elektronicznej,</w:t>
      </w:r>
    </w:p>
    <w:p w14:paraId="502EF96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35232848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0CD24A8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14:paraId="7903F3FB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27B3D1C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49BC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2594097" w14:textId="77777777"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14:paraId="450FC123" w14:textId="77777777"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wystąpieniem 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</w:t>
      </w:r>
      <w:proofErr w:type="spellStart"/>
      <w:r w:rsidR="00276B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>
        <w:rPr>
          <w:rFonts w:ascii="Times New Roman" w:hAnsi="Times New Roman" w:cs="Times New Roman"/>
          <w:sz w:val="24"/>
          <w:szCs w:val="24"/>
        </w:rPr>
        <w:t xml:space="preserve">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14:paraId="08714538" w14:textId="77777777"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proofErr w:type="spellStart"/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7C791F3A" w14:textId="77777777"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14:paraId="4DAFE284" w14:textId="77777777"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6F91B1E6" w14:textId="77777777"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62BD7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3E0C44D8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 xml:space="preserve">W przypadku niewydania </w:t>
      </w:r>
      <w:r w:rsidR="00347E6E">
        <w:rPr>
          <w:rFonts w:ascii="Times New Roman" w:hAnsi="Times New Roman" w:cs="Times New Roman"/>
          <w:sz w:val="24"/>
          <w:szCs w:val="24"/>
        </w:rPr>
        <w:lastRenderedPageBreak/>
        <w:t>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14:paraId="77B9E38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14:paraId="315B1381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14:paraId="0E0804C6" w14:textId="77777777"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14:paraId="64ABC94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14:paraId="2D55FFE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                 w związku ze stwierdzeniem wad, których nie można usunąć (wykonać) w siedzibie UŻYTKOWNIKA, przemieszczenie samochodu celem naprawy i z powrotem do siedziby UŻYTKOWNIKA następuje na koszt WYKONAWCY, w sposób i na warunkach określonych pomiędzy WYKONAWCĄ a ZAMAWIAJĄCYM. W przypadku braku porozumienia co do warunków niniejszego przemieszczenia przedmiotu umowy WYKONAWCA dokona koniecznych na</w:t>
      </w:r>
      <w:r w:rsidR="00FB2AFA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001330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01330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57477A4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14:paraId="6C2B5141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14:paraId="54D92BC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14:paraId="2A71C3EB" w14:textId="77777777"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WYKONAWCA gwarantuje dostawę części zamiennych do oferowanego przedmiotu umowy przez minimum 15 lat od daty zakończenia produkcji.</w:t>
      </w:r>
    </w:p>
    <w:p w14:paraId="6975D88C" w14:textId="77777777"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14:paraId="69016C51" w14:textId="77777777"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97A47" w14:textId="60660F6D"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4C8BC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5D76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63661F47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5FCAC6D9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13B6DCB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14:paraId="5FEFBAFE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0AE58F99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23C2A00C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7C82C06D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3F1D0E28" w14:textId="77777777"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14:paraId="58B4F869" w14:textId="77777777"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1AAB2DB" w14:textId="77777777"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7C9C45CF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F16A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65092C28" w14:textId="7796DD5B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14:paraId="71B6D27C" w14:textId="77777777"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BEFE80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14:paraId="2DA4304D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0EDDCDD2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6E2DAE9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98F53EE" w14:textId="77777777"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14:paraId="3A93CE84" w14:textId="77777777"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3667DD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1DF74DF2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3375FB68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14:paraId="503A8AFD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70F2ED50" w14:textId="77777777"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14:paraId="32871B5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043177A9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8C83CB2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Procedury szkoleniowej przedmiotu zamówienia,</w:t>
      </w:r>
    </w:p>
    <w:p w14:paraId="34CD829C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14:paraId="4B185D95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00CAFED7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069F2C31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236EFC1E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73CABF3A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44171B0E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4575B76F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00B04E0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1C6E043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559650D7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02A83488" w14:textId="77777777"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09F3F28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EAB72C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425EBE9B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47C3232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</w:t>
      </w:r>
      <w:proofErr w:type="spellStart"/>
      <w:r w:rsidRPr="00001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01330">
        <w:rPr>
          <w:rFonts w:ascii="Times New Roman" w:hAnsi="Times New Roman" w:cs="Times New Roman"/>
          <w:sz w:val="24"/>
          <w:szCs w:val="24"/>
        </w:rPr>
        <w:t>. zm.).</w:t>
      </w:r>
    </w:p>
    <w:p w14:paraId="2427E5F6" w14:textId="77777777"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ADC59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0A8206AE" w14:textId="77777777"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946E600" w14:textId="77777777"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FF26EF4" w14:textId="77777777" w:rsidR="006540F1" w:rsidRPr="00001330" w:rsidRDefault="00DA4722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3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>
        <w:rPr>
          <w:rFonts w:ascii="Times New Roman" w:hAnsi="Times New Roman" w:cs="Times New Roman"/>
          <w:sz w:val="24"/>
          <w:szCs w:val="24"/>
        </w:rPr>
        <w:t>egzemplarzu dla każdej ze Stron, oraz dla UŻYTKOWNIKA przedmiotu umowy.</w:t>
      </w:r>
    </w:p>
    <w:p w14:paraId="4297887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C1B5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14:paraId="4A92DDEF" w14:textId="77777777"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14:paraId="7F58EC2B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1691F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8E50270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549B3962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1F555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BD8DF27" w14:textId="77777777"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084D4" w14:textId="77777777" w:rsidR="00C33767" w:rsidRDefault="00C33767" w:rsidP="00B22C20">
      <w:pPr>
        <w:spacing w:after="0" w:line="240" w:lineRule="auto"/>
      </w:pPr>
      <w:r>
        <w:separator/>
      </w:r>
    </w:p>
  </w:endnote>
  <w:endnote w:type="continuationSeparator" w:id="0">
    <w:p w14:paraId="76D39FFC" w14:textId="77777777" w:rsidR="00C33767" w:rsidRDefault="00C33767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311"/>
      <w:docPartObj>
        <w:docPartGallery w:val="Page Numbers (Bottom of Page)"/>
        <w:docPartUnique/>
      </w:docPartObj>
    </w:sdtPr>
    <w:sdtEndPr/>
    <w:sdtContent>
      <w:p w14:paraId="6966D789" w14:textId="69727A2A" w:rsidR="00B22C20" w:rsidRDefault="0090607D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C43618">
          <w:rPr>
            <w:noProof/>
          </w:rPr>
          <w:t>1</w:t>
        </w:r>
        <w:r>
          <w:fldChar w:fldCharType="end"/>
        </w:r>
      </w:p>
    </w:sdtContent>
  </w:sdt>
  <w:p w14:paraId="29677F02" w14:textId="77777777"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94650" w14:textId="77777777" w:rsidR="00C33767" w:rsidRDefault="00C33767" w:rsidP="00B22C20">
      <w:pPr>
        <w:spacing w:after="0" w:line="240" w:lineRule="auto"/>
      </w:pPr>
      <w:r>
        <w:separator/>
      </w:r>
    </w:p>
  </w:footnote>
  <w:footnote w:type="continuationSeparator" w:id="0">
    <w:p w14:paraId="4B1ABE07" w14:textId="77777777" w:rsidR="00C33767" w:rsidRDefault="00C33767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C7"/>
    <w:rsid w:val="00001330"/>
    <w:rsid w:val="00031BAC"/>
    <w:rsid w:val="000467C9"/>
    <w:rsid w:val="00063531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E2AAA"/>
    <w:rsid w:val="002F22D0"/>
    <w:rsid w:val="00313496"/>
    <w:rsid w:val="00347E6E"/>
    <w:rsid w:val="0036225D"/>
    <w:rsid w:val="00373020"/>
    <w:rsid w:val="003A2F4D"/>
    <w:rsid w:val="003B40D9"/>
    <w:rsid w:val="003D20B8"/>
    <w:rsid w:val="003D21C7"/>
    <w:rsid w:val="003E0794"/>
    <w:rsid w:val="00404E06"/>
    <w:rsid w:val="00416033"/>
    <w:rsid w:val="0042489B"/>
    <w:rsid w:val="004A685E"/>
    <w:rsid w:val="004B214A"/>
    <w:rsid w:val="004F037D"/>
    <w:rsid w:val="004F3182"/>
    <w:rsid w:val="004F7E13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7C1F"/>
    <w:rsid w:val="006C3371"/>
    <w:rsid w:val="006E7BE8"/>
    <w:rsid w:val="006F228D"/>
    <w:rsid w:val="007334AE"/>
    <w:rsid w:val="0075104D"/>
    <w:rsid w:val="00756014"/>
    <w:rsid w:val="00771AC3"/>
    <w:rsid w:val="0079708D"/>
    <w:rsid w:val="00830C41"/>
    <w:rsid w:val="00844942"/>
    <w:rsid w:val="0086732D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B22C20"/>
    <w:rsid w:val="00B3266A"/>
    <w:rsid w:val="00B50701"/>
    <w:rsid w:val="00B76550"/>
    <w:rsid w:val="00BE601D"/>
    <w:rsid w:val="00BF5EDE"/>
    <w:rsid w:val="00C00C8C"/>
    <w:rsid w:val="00C061F7"/>
    <w:rsid w:val="00C10513"/>
    <w:rsid w:val="00C10C48"/>
    <w:rsid w:val="00C33767"/>
    <w:rsid w:val="00C3752B"/>
    <w:rsid w:val="00C43618"/>
    <w:rsid w:val="00C50621"/>
    <w:rsid w:val="00C56DB6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50BDD"/>
    <w:rsid w:val="00D616BE"/>
    <w:rsid w:val="00D72466"/>
    <w:rsid w:val="00D77F31"/>
    <w:rsid w:val="00D97950"/>
    <w:rsid w:val="00DA4722"/>
    <w:rsid w:val="00DB2F94"/>
    <w:rsid w:val="00DB7408"/>
    <w:rsid w:val="00DF3CD3"/>
    <w:rsid w:val="00E23068"/>
    <w:rsid w:val="00E24169"/>
    <w:rsid w:val="00E2603D"/>
    <w:rsid w:val="00E37656"/>
    <w:rsid w:val="00E47CF9"/>
    <w:rsid w:val="00E74C36"/>
    <w:rsid w:val="00E86E49"/>
    <w:rsid w:val="00E93052"/>
    <w:rsid w:val="00EA6D87"/>
    <w:rsid w:val="00EB6659"/>
    <w:rsid w:val="00F00763"/>
    <w:rsid w:val="00F76C90"/>
    <w:rsid w:val="00F84BD2"/>
    <w:rsid w:val="00F87347"/>
    <w:rsid w:val="00FB2AF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straz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CDF4E-F4B6-414C-A754-09744CBC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3899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17</cp:revision>
  <dcterms:created xsi:type="dcterms:W3CDTF">2021-05-24T08:48:00Z</dcterms:created>
  <dcterms:modified xsi:type="dcterms:W3CDTF">2021-07-13T07:35:00Z</dcterms:modified>
</cp:coreProperties>
</file>